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D8E9E" w14:textId="4E1349F7" w:rsidR="00CD5936" w:rsidRPr="001F2BA6" w:rsidRDefault="00CD5936">
      <w:pPr>
        <w:rPr>
          <w:rFonts w:cstheme="minorHAnsi"/>
        </w:rPr>
      </w:pPr>
      <w:r w:rsidRPr="001F2BA6">
        <w:rPr>
          <w:rFonts w:cstheme="minorHAnsi"/>
        </w:rPr>
        <w:t>Znak sprawy: Or.271</w:t>
      </w:r>
      <w:r w:rsidR="00DE72D0" w:rsidRPr="001F2BA6">
        <w:rPr>
          <w:rFonts w:cstheme="minorHAnsi"/>
        </w:rPr>
        <w:t>.</w:t>
      </w:r>
      <w:r w:rsidR="007370F2">
        <w:rPr>
          <w:rFonts w:cstheme="minorHAnsi"/>
        </w:rPr>
        <w:t>6</w:t>
      </w:r>
      <w:r w:rsidRPr="001F2BA6">
        <w:rPr>
          <w:rFonts w:cstheme="minorHAnsi"/>
        </w:rPr>
        <w:t>.202</w:t>
      </w:r>
      <w:r w:rsidR="00CA165C">
        <w:rPr>
          <w:rFonts w:cstheme="minorHAnsi"/>
        </w:rPr>
        <w:t>6</w:t>
      </w:r>
      <w:r w:rsidR="00A65376" w:rsidRPr="001F2BA6">
        <w:rPr>
          <w:rFonts w:cstheme="minorHAnsi"/>
        </w:rPr>
        <w:t xml:space="preserve">  </w:t>
      </w:r>
      <w:r w:rsidRPr="001F2BA6">
        <w:rPr>
          <w:rFonts w:cstheme="minorHAnsi"/>
        </w:rPr>
        <w:t xml:space="preserve">                                                                               Załącznik nr 1 OPZ</w:t>
      </w:r>
      <w:r w:rsidR="009B5573" w:rsidRPr="001F2BA6">
        <w:rPr>
          <w:rFonts w:cstheme="minorHAnsi"/>
        </w:rPr>
        <w:t xml:space="preserve"> do SWZ</w:t>
      </w:r>
    </w:p>
    <w:p w14:paraId="49524A74" w14:textId="77777777" w:rsidR="00CD5936" w:rsidRPr="001F2BA6" w:rsidRDefault="00CD5936" w:rsidP="00DE72D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F7694DD" w14:textId="33471BCF" w:rsidR="00CD5936" w:rsidRPr="00C31BDD" w:rsidRDefault="00CD5936" w:rsidP="00DE72D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</w:rPr>
      </w:pPr>
      <w:r w:rsidRPr="00C31BDD">
        <w:rPr>
          <w:rFonts w:cstheme="minorHAnsi"/>
          <w:b/>
          <w:bCs/>
        </w:rPr>
        <w:t>Szczegółowy opis przedmiotu zamówienia, warunki i sposób jego realizacji:</w:t>
      </w:r>
    </w:p>
    <w:p w14:paraId="045E64A6" w14:textId="77777777" w:rsidR="00C31BDD" w:rsidRPr="00C31BDD" w:rsidRDefault="00C31BDD" w:rsidP="00C31BDD">
      <w:pPr>
        <w:pStyle w:val="Textbody"/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C31BDD">
        <w:rPr>
          <w:rFonts w:asciiTheme="minorHAnsi" w:hAnsiTheme="minorHAnsi" w:cstheme="minorHAnsi"/>
          <w:sz w:val="22"/>
          <w:szCs w:val="22"/>
        </w:rPr>
        <w:t xml:space="preserve">W ramach zadania należy wykonać zewnętrzny, żelbetowy </w:t>
      </w:r>
      <w:r w:rsidRPr="00C31BDD">
        <w:rPr>
          <w:rFonts w:asciiTheme="minorHAnsi" w:hAnsiTheme="minorHAnsi" w:cstheme="minorHAnsi"/>
          <w:bCs/>
          <w:sz w:val="22"/>
          <w:szCs w:val="22"/>
        </w:rPr>
        <w:t>szyb windowy z montażem windy osobowej jako rozbudowa istniejącego budynku Urzędu Miejskiego przy ul. Torowej 14A  w Czarnej Białostockiej, na części działki o nr ew. gr. 915/17</w:t>
      </w:r>
      <w:r w:rsidRPr="00C31BDD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położonej w obrębie geod. Czarna Białostocka, gm. Czarna Białostocka. </w:t>
      </w:r>
      <w:r w:rsidRPr="00C31BDD">
        <w:rPr>
          <w:rFonts w:asciiTheme="minorHAnsi" w:hAnsiTheme="minorHAnsi" w:cstheme="minorHAnsi"/>
          <w:bCs/>
          <w:sz w:val="22"/>
          <w:szCs w:val="22"/>
        </w:rPr>
        <w:t>Realizacja inwestycji usprawni funkcjonowanie Urzędu Miejskiego i zwiększy dostępności do wszystkich urzędów mieszczących się na wszystkich kondygnacjach dla osób sprawnych, leciwych, z niepełnosprawnościami ruchowymi, niedowidzących i niewidomych.</w:t>
      </w:r>
    </w:p>
    <w:p w14:paraId="3447F066" w14:textId="77777777" w:rsidR="00C31BDD" w:rsidRPr="00C31BDD" w:rsidRDefault="00C31BDD" w:rsidP="00C31BDD">
      <w:pPr>
        <w:pStyle w:val="EMIpodstawowy"/>
        <w:widowControl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6DE4675" w14:textId="77777777" w:rsidR="00C31BDD" w:rsidRPr="00C31BDD" w:rsidRDefault="00C31BDD" w:rsidP="00C31BDD">
      <w:pPr>
        <w:pStyle w:val="EMIpodstawowy"/>
        <w:widowControl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31BDD">
        <w:rPr>
          <w:rFonts w:asciiTheme="minorHAnsi" w:eastAsia="Arial" w:hAnsiTheme="minorHAnsi" w:cstheme="minorHAnsi"/>
          <w:color w:val="000000"/>
          <w:sz w:val="22"/>
          <w:szCs w:val="22"/>
        </w:rPr>
        <w:t>W zakres robót związanych z przedmiotem inwestycji wchodzą:</w:t>
      </w:r>
    </w:p>
    <w:p w14:paraId="5841C255" w14:textId="77777777" w:rsidR="00C31BDD" w:rsidRPr="00C31BDD" w:rsidRDefault="00C31BDD" w:rsidP="00C31BDD">
      <w:pPr>
        <w:pStyle w:val="EMIpodstawowy"/>
        <w:widowControl w:val="0"/>
        <w:jc w:val="both"/>
        <w:rPr>
          <w:rFonts w:asciiTheme="minorHAnsi" w:eastAsia="Arial" w:hAnsiTheme="minorHAnsi" w:cstheme="minorHAnsi"/>
          <w:b/>
          <w:color w:val="000000"/>
          <w:sz w:val="22"/>
          <w:szCs w:val="22"/>
        </w:rPr>
      </w:pPr>
      <w:r w:rsidRPr="00C31BDD">
        <w:rPr>
          <w:rFonts w:asciiTheme="minorHAnsi" w:eastAsia="Arial" w:hAnsiTheme="minorHAnsi" w:cstheme="minorHAnsi"/>
          <w:b/>
          <w:color w:val="000000"/>
          <w:sz w:val="22"/>
          <w:szCs w:val="22"/>
        </w:rPr>
        <w:t>A. Roboty branży budowlanej w tym konstrukcyjnej w postaci:</w:t>
      </w:r>
    </w:p>
    <w:p w14:paraId="6DC909D2" w14:textId="77777777" w:rsidR="00C31BDD" w:rsidRPr="00C31BDD" w:rsidRDefault="00C31BDD" w:rsidP="00C31BDD">
      <w:pPr>
        <w:pStyle w:val="Akapitzlist"/>
        <w:numPr>
          <w:ilvl w:val="0"/>
          <w:numId w:val="13"/>
        </w:numPr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roboty demontażowe stolarki okiennej (bez naruszenia ramy witryny szklanej), przekrycia ostatniej kondygnacji (poddasza) z płyt korytkowych do ponownego wbudowania oraz wyprawy utwardzeń placu miejskiego (częściowo do ponownego wbudowania).</w:t>
      </w:r>
    </w:p>
    <w:p w14:paraId="548AC06A" w14:textId="77777777" w:rsidR="00C31BDD" w:rsidRPr="00C31BDD" w:rsidRDefault="00C31BDD" w:rsidP="00C31BDD">
      <w:pPr>
        <w:pStyle w:val="Akapitzlist"/>
        <w:numPr>
          <w:ilvl w:val="0"/>
          <w:numId w:val="13"/>
        </w:numPr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roboty ziemne i fundamentowe szybu windowego i przedsionka szybu</w:t>
      </w:r>
    </w:p>
    <w:p w14:paraId="6A04778D" w14:textId="77777777" w:rsidR="00C31BDD" w:rsidRPr="00C31BDD" w:rsidRDefault="00C31BDD" w:rsidP="00C31BDD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posadowienie szybu windowego i wiatrołapu na płycie fundamentowej grubości h=30cm. </w:t>
      </w:r>
    </w:p>
    <w:p w14:paraId="486B3C48" w14:textId="77777777" w:rsidR="00C31BDD" w:rsidRPr="00C31BDD" w:rsidRDefault="00C31BDD" w:rsidP="00C31BDD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C31BDD">
        <w:rPr>
          <w:rFonts w:cstheme="minorHAnsi"/>
        </w:rPr>
        <w:t>fundamenty z betonu C20/25 (B25) zbrojone stalą w sposób ciągły na warstwie chudego betonu C8/10 (B10) grubości 10cm z wyprowadzeniem prętów pionowych w miejscach ściany żelbetowej, słupów i trzpieni żelbetowych.</w:t>
      </w:r>
    </w:p>
    <w:p w14:paraId="54F46AC0" w14:textId="77777777" w:rsidR="00C31BDD" w:rsidRPr="00C31BDD" w:rsidRDefault="00C31BDD" w:rsidP="00C31BDD">
      <w:pPr>
        <w:pStyle w:val="Akapitzlist"/>
        <w:numPr>
          <w:ilvl w:val="0"/>
          <w:numId w:val="13"/>
        </w:numPr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wykonanie żelbetowej konstrukcji szybu windowego i przedsionka  z dowiązaniem do istniejącej konstrukcji budynku – 4 przystanki (poziom przyziemia, parter, I piętro, poddasze)</w:t>
      </w:r>
    </w:p>
    <w:p w14:paraId="3FB0245D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ściany żelbetowe </w:t>
      </w:r>
      <w:r w:rsidRPr="00C31BDD">
        <w:rPr>
          <w:rFonts w:cstheme="minorHAnsi"/>
          <w:color w:val="000000"/>
        </w:rPr>
        <w:t>grubości 20 i 25cm</w:t>
      </w:r>
      <w:r w:rsidRPr="00C31BDD">
        <w:rPr>
          <w:rFonts w:cstheme="minorHAnsi"/>
        </w:rPr>
        <w:t xml:space="preserve"> wylewane na budowie z betonu C20/25 (B25), zbrojone stalą</w:t>
      </w:r>
      <w:r w:rsidRPr="00C31BDD">
        <w:rPr>
          <w:rFonts w:cstheme="minorHAnsi"/>
          <w:color w:val="000000"/>
        </w:rPr>
        <w:t>,</w:t>
      </w:r>
      <w:r w:rsidRPr="00C31BDD">
        <w:rPr>
          <w:rFonts w:cstheme="minorHAnsi"/>
        </w:rPr>
        <w:t xml:space="preserve"> </w:t>
      </w:r>
    </w:p>
    <w:p w14:paraId="636FCABE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słupy i trzpienie żelbetowe monolityczne zbrojone stalą, wykonane na budowie z betonu C20/25 (B25), </w:t>
      </w:r>
    </w:p>
    <w:p w14:paraId="52C1B563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nadproża żelbetowe monolityczne zbrojone stalą, wykonane na budowie z betonu C20/25 (B25), </w:t>
      </w:r>
    </w:p>
    <w:p w14:paraId="6C58730D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wieńce żelbetowe zbrojone stalą w sposób ciągły, 4x </w:t>
      </w:r>
      <w:r w:rsidRPr="00C31BDD">
        <w:rPr>
          <w:rFonts w:cstheme="minorHAnsi"/>
        </w:rPr>
        <w:sym w:font="Symbol" w:char="F066"/>
      </w:r>
      <w:r w:rsidRPr="00C31BDD">
        <w:rPr>
          <w:rFonts w:cstheme="minorHAnsi"/>
        </w:rPr>
        <w:t xml:space="preserve">12 jako zbrojenie podłużne, strzemiona ze stali </w:t>
      </w:r>
      <w:r w:rsidRPr="00C31BDD">
        <w:rPr>
          <w:rFonts w:cstheme="minorHAnsi"/>
        </w:rPr>
        <w:sym w:font="Symbol" w:char="F066"/>
      </w:r>
      <w:r w:rsidRPr="00C31BDD">
        <w:rPr>
          <w:rFonts w:cstheme="minorHAnsi"/>
        </w:rPr>
        <w:t xml:space="preserve">6 w rozstawie co 25cm, z betonu C20/25 (B25), </w:t>
      </w:r>
    </w:p>
    <w:p w14:paraId="18429CA1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ściany szybu windowego grubości 20cm jako żelbetowe monolityczne zbrojone stalą wykonane na budowie z betonu C20/25 (B25), </w:t>
      </w:r>
    </w:p>
    <w:p w14:paraId="4E7F9D56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docieplenie  ścian szybu windowego, przedsionka windy oraz nadbudowy poddasza styropianem  EPS 70-040 grubości 20 cm, wykończone płaskimi panelami kompozytowymi  grubości min. 4 mm składającymi się z dwustronnej okładziny z blachy aluminiowej grubości min. 0,5 mm i rdzenia z kompozytu polietylenu z wypełniaczem mineralnym, płyty w kolorze szarym-popielatym (zbliżonym do RAL 7000) zabezpieczone na stronie licowej ochronną powłoką  grubości min. 0,25µm (tożsame z zamontowanymi na pozostałej części budynku),  mocowanymi  na podkonstrukcji systemowej za pomocą nitów aluminiowych.</w:t>
      </w:r>
    </w:p>
    <w:p w14:paraId="10C3C5B6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  <w:bCs/>
        </w:rPr>
        <w:t>nadbudowa ściany pomieszczenia technicznego na III kondygnacji – poddasze             (</w:t>
      </w:r>
      <w:r w:rsidRPr="00C31BDD">
        <w:rPr>
          <w:rFonts w:cstheme="minorHAnsi"/>
        </w:rPr>
        <w:t>nawiercenia w istniejącym wieńcu i wykonanie ciągłości zbrojenia rdzeni ścian za pomocą kotew chemicznych, domurowanie ściany grubości 25cm do wymaganej wysokości i wykończenie żelbetowym wieńcem opaskowym),</w:t>
      </w:r>
    </w:p>
    <w:p w14:paraId="418485F3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wykonanie płyt stropowych o grubości 16cm nad wiatrołapem i 20cm nad szybem windowym (z uwzględnieniem mocowań, haków technologicznych zgodnych  z wytycznymi producenta windy), wylewane z betonu C20/25 (B25), zbrojone krzyżowo stalą, oparty na wieńcu opaskowym wylanym na ścianach konstrukcyjnych.</w:t>
      </w:r>
    </w:p>
    <w:p w14:paraId="141382E9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wykonanie wyłazu serwisowego/klapy wyjścia awaryjnego szybu windowego, </w:t>
      </w:r>
    </w:p>
    <w:p w14:paraId="4B91F0FF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lastRenderedPageBreak/>
        <w:t>wykonanie izolacji przeciwwilgociowej poziomej oraz termicznej stropu szybu windowego wełną twardą grubości 30 cm ułożoną ze spadkiem,</w:t>
      </w:r>
    </w:p>
    <w:p w14:paraId="38D74400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wykonanie izolacji przeciwwilgociowej poziomej oraz termicznej stropu poddasza styropianem twardym grubości 30 cm ułożonym ze spadkiem,</w:t>
      </w:r>
    </w:p>
    <w:p w14:paraId="355873EA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wykonanie izolacji przeciwwilgociowej poziomej oraz termicznej stropu przedsionka windy wełną twardą grubości 30 cm ułożoną ze spadkiem,</w:t>
      </w:r>
    </w:p>
    <w:p w14:paraId="1D63AF87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wykonanie izolacji przeciwwilgociowych pionowych fundamentów wraz z ich izolacją termiczną styropianem ekstrudowanym grubości 15 cm</w:t>
      </w:r>
      <w:r w:rsidRPr="00C31BDD">
        <w:rPr>
          <w:rFonts w:cstheme="minorHAnsi"/>
          <w:color w:val="FF0000"/>
        </w:rPr>
        <w:t xml:space="preserve"> </w:t>
      </w:r>
      <w:r w:rsidRPr="00C31BDD">
        <w:rPr>
          <w:rFonts w:cstheme="minorHAnsi"/>
        </w:rPr>
        <w:t>z wyprawą części cokołowej cienkowarstwowym tynkiem mineralnym w kolorze melanży szarego z czarnym na warstwie szczepnej,</w:t>
      </w:r>
    </w:p>
    <w:p w14:paraId="14518784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wykonanie wentylacji przestrzeni zamkniętej nad wiatrołapem i szybu windowego,</w:t>
      </w:r>
    </w:p>
    <w:p w14:paraId="16C892A5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wykonanie obróbek blacharskich oraz pokrycia połaci dachowych z papy termozgrzewalnej na podkładzie z wywinięciami na ścianki attyk zgodnie z kartą techniczną producenta pokrycia dachów płaskich – spadek 2</w:t>
      </w:r>
      <w:r w:rsidRPr="00C31BDD">
        <w:rPr>
          <w:rFonts w:cstheme="minorHAnsi"/>
          <w:b/>
          <w:bCs/>
          <w:color w:val="202124"/>
          <w:shd w:val="clear" w:color="auto" w:fill="FFFFFF"/>
        </w:rPr>
        <w:t>°</w:t>
      </w:r>
      <w:r w:rsidRPr="00C31BDD">
        <w:rPr>
          <w:rFonts w:cstheme="minorHAnsi"/>
        </w:rPr>
        <w:t xml:space="preserve"> szybu windowego, przedsionka szybu windowego oraz poddasza,</w:t>
      </w:r>
    </w:p>
    <w:p w14:paraId="27AE868E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>dostawa i montaż stolarki otworowej przedsionka szybu windowego.</w:t>
      </w:r>
    </w:p>
    <w:p w14:paraId="6D6CBB6B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dostawa i montaż rynien o średnicy 10 cm i rur spustowych o średnicy 8 cm  z blachy stalowej ocynkowanej , powlekanej w kolorze szarym (zbliżonym do RAL 7000) wraz z dekoracyjnym, polietylenowym zbiornikiem na deszczówkę pojemności 1000 l w kolorze szarym/grafitowym z </w:t>
      </w:r>
      <w:r w:rsidRPr="00C31BDD">
        <w:rPr>
          <w:rFonts w:eastAsia="Times New Roman" w:cstheme="minorHAnsi"/>
          <w:lang w:eastAsia="pl-PL"/>
        </w:rPr>
        <w:t>zestawem do podciśnieniowego poboru wody ze zbiornika,</w:t>
      </w:r>
    </w:p>
    <w:p w14:paraId="7F5EDCCC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eastAsia="Times New Roman" w:cstheme="minorHAnsi"/>
          <w:lang w:eastAsia="pl-PL"/>
        </w:rPr>
        <w:t>wykonanie tynków cementowo-wapiennych na ścianach i sufitach,</w:t>
      </w:r>
    </w:p>
    <w:p w14:paraId="754971B9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eastAsia="Times New Roman" w:cstheme="minorHAnsi"/>
          <w:lang w:eastAsia="pl-PL"/>
        </w:rPr>
        <w:t>wykonanie dwuwarstwowych gładzi gipsowych na ścianach i sufitach, z gruntowaniem i min. 2 krotnym wykonaniem powłok malarskich,</w:t>
      </w:r>
    </w:p>
    <w:p w14:paraId="1D9CAA8A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eastAsia="Times New Roman" w:cstheme="minorHAnsi"/>
          <w:lang w:eastAsia="pl-PL"/>
        </w:rPr>
        <w:t>wykonanie warstw posadzkowych w przedsionku szybu windowego z systemową wycieraczką szczotkowo-gumową o wymiarach 160x80cm, wyprawa posadzki z płyt gres koloru szarego o min. wymiarach 60x60 cm oraz 60x30 cm</w:t>
      </w:r>
    </w:p>
    <w:p w14:paraId="1E472C01" w14:textId="77777777" w:rsidR="00C31BDD" w:rsidRPr="00C31BDD" w:rsidRDefault="00C31BDD" w:rsidP="00C31BDD">
      <w:pPr>
        <w:pStyle w:val="Akapitzlist"/>
        <w:numPr>
          <w:ilvl w:val="0"/>
          <w:numId w:val="16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dostawa i montaż zadaszenia (2,00x1,50m) wejścia do przedsionka szybu windowego ze szkła bezbarwnego, laminowanego i hartowanego z polerowanymi krawędziami  </w:t>
      </w:r>
    </w:p>
    <w:p w14:paraId="2B6FDADC" w14:textId="77777777" w:rsidR="00C31BDD" w:rsidRPr="00C31BDD" w:rsidRDefault="00C31BDD" w:rsidP="00C31BDD">
      <w:pPr>
        <w:pStyle w:val="Akapitzlist"/>
        <w:numPr>
          <w:ilvl w:val="0"/>
          <w:numId w:val="13"/>
        </w:numPr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dostawa i montaż windy osobowej z napędem i sterowaniem.</w:t>
      </w:r>
    </w:p>
    <w:p w14:paraId="7D2C021C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cstheme="minorHAnsi"/>
        </w:rPr>
        <w:t>k</w:t>
      </w:r>
      <w:r w:rsidRPr="00C31BDD">
        <w:rPr>
          <w:rFonts w:eastAsia="Calibri" w:cstheme="minorHAnsi"/>
        </w:rPr>
        <w:t xml:space="preserve">abina dźwigu osobowego dostępna dla osób niepełnosprawnych </w:t>
      </w:r>
      <w:r w:rsidRPr="00C31BDD">
        <w:rPr>
          <w:rFonts w:cstheme="minorHAnsi"/>
        </w:rPr>
        <w:t>o szerokości co najmniej 1,4</w:t>
      </w:r>
      <w:r w:rsidRPr="00C31BDD">
        <w:rPr>
          <w:rFonts w:eastAsia="Calibri" w:cstheme="minorHAnsi"/>
        </w:rPr>
        <w:t xml:space="preserve"> m i dł</w:t>
      </w:r>
      <w:r w:rsidRPr="00C31BDD">
        <w:rPr>
          <w:rFonts w:cstheme="minorHAnsi"/>
        </w:rPr>
        <w:t>ugość 1,4 m oraz wysokości 2,2 m</w:t>
      </w:r>
      <w:r w:rsidRPr="00C31BDD">
        <w:rPr>
          <w:rFonts w:eastAsia="Calibri" w:cstheme="minorHAnsi"/>
        </w:rPr>
        <w:t xml:space="preserve"> </w:t>
      </w:r>
      <w:r w:rsidRPr="00C31BDD">
        <w:rPr>
          <w:rFonts w:cstheme="minorHAnsi"/>
        </w:rPr>
        <w:t xml:space="preserve">z </w:t>
      </w:r>
      <w:r w:rsidRPr="00C31BDD">
        <w:rPr>
          <w:rFonts w:eastAsia="Calibri" w:cstheme="minorHAnsi"/>
        </w:rPr>
        <w:t>poręcz</w:t>
      </w:r>
      <w:r w:rsidRPr="00C31BDD">
        <w:rPr>
          <w:rFonts w:cstheme="minorHAnsi"/>
        </w:rPr>
        <w:t>ą</w:t>
      </w:r>
      <w:r w:rsidRPr="00C31BDD">
        <w:rPr>
          <w:rFonts w:eastAsia="Calibri" w:cstheme="minorHAnsi"/>
        </w:rPr>
        <w:t xml:space="preserve"> na wysokości 0,9 m oraz tablic</w:t>
      </w:r>
      <w:r w:rsidRPr="00C31BDD">
        <w:rPr>
          <w:rFonts w:cstheme="minorHAnsi"/>
        </w:rPr>
        <w:t>ą</w:t>
      </w:r>
      <w:r w:rsidRPr="00C31BDD">
        <w:rPr>
          <w:rFonts w:eastAsia="Calibri" w:cstheme="minorHAnsi"/>
        </w:rPr>
        <w:t xml:space="preserve"> przyzywową na wysokości od 0,8 m do 1,2 m w odległości nie mniejszej niż 0,5 m od naroża kabiny z dodatkowym oznakowaniem dla osób niewidomych i informacją głosową.</w:t>
      </w:r>
    </w:p>
    <w:p w14:paraId="1C59E45C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dźwig </w:t>
      </w:r>
      <w:r w:rsidRPr="00C31BDD">
        <w:rPr>
          <w:rFonts w:eastAsia="Calibri" w:cstheme="minorHAnsi"/>
          <w:bCs/>
          <w:color w:val="000000"/>
          <w:lang w:eastAsia="pl-PL"/>
        </w:rPr>
        <w:t>spełnia</w:t>
      </w:r>
      <w:r w:rsidRPr="00C31BDD">
        <w:rPr>
          <w:rFonts w:cstheme="minorHAnsi"/>
          <w:bCs/>
          <w:color w:val="000000"/>
          <w:lang w:eastAsia="pl-PL"/>
        </w:rPr>
        <w:t>jący</w:t>
      </w:r>
      <w:r w:rsidRPr="00C31BDD">
        <w:rPr>
          <w:rFonts w:eastAsia="Calibri" w:cstheme="minorHAnsi"/>
          <w:bCs/>
          <w:color w:val="000000"/>
          <w:lang w:eastAsia="pl-PL"/>
        </w:rPr>
        <w:t xml:space="preserve"> wymogi normy EN 81-20/50.</w:t>
      </w:r>
    </w:p>
    <w:p w14:paraId="3F9A5E63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cstheme="minorHAnsi"/>
        </w:rPr>
        <w:t>udźwig min.</w:t>
      </w:r>
      <w:r w:rsidRPr="00C31BDD">
        <w:rPr>
          <w:rFonts w:eastAsia="Calibri" w:cstheme="minorHAnsi"/>
          <w:bCs/>
          <w:color w:val="000000"/>
          <w:lang w:eastAsia="pl-PL"/>
        </w:rPr>
        <w:t>800 kg (10 osób)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2023C1F3" w14:textId="77777777" w:rsidR="00C31BDD" w:rsidRPr="00C31BDD" w:rsidRDefault="00C31BDD" w:rsidP="00C31BDD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cstheme="minorHAnsi"/>
          <w:color w:val="000000"/>
          <w:lang w:eastAsia="pl-PL"/>
        </w:rPr>
      </w:pPr>
      <w:r w:rsidRPr="00C31BDD">
        <w:rPr>
          <w:rFonts w:cstheme="minorHAnsi"/>
        </w:rPr>
        <w:t xml:space="preserve">ilość przystanków </w:t>
      </w:r>
      <w:r w:rsidRPr="00C31BDD">
        <w:rPr>
          <w:rFonts w:eastAsia="Calibri" w:cstheme="minorHAnsi"/>
          <w:bCs/>
          <w:color w:val="000000"/>
          <w:lang w:eastAsia="pl-PL"/>
        </w:rPr>
        <w:t>4 – przelot kątowy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16D453C8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cstheme="minorHAnsi"/>
        </w:rPr>
        <w:t>napęd elektryczny bezreduktorowy,</w:t>
      </w:r>
    </w:p>
    <w:p w14:paraId="6A9EE497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wewnętrzne minimalne wymiary szybu: szer. 1800 mm x gł. 2150 mm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6CB452E3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wymiary kabiny</w:t>
      </w:r>
      <w:r w:rsidRPr="00C31BDD">
        <w:rPr>
          <w:rFonts w:cstheme="minorHAnsi"/>
          <w:bCs/>
          <w:color w:val="000000"/>
          <w:lang w:eastAsia="pl-PL"/>
        </w:rPr>
        <w:t xml:space="preserve"> - </w:t>
      </w:r>
      <w:r w:rsidRPr="00C31BDD">
        <w:rPr>
          <w:rFonts w:eastAsia="Calibri" w:cstheme="minorHAnsi"/>
          <w:bCs/>
          <w:color w:val="000000"/>
          <w:lang w:eastAsia="pl-PL"/>
        </w:rPr>
        <w:t>1400 x 1400 x 2200 mm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5CDCCD18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cstheme="minorHAnsi"/>
          <w:bCs/>
          <w:color w:val="000000"/>
          <w:lang w:eastAsia="pl-PL"/>
        </w:rPr>
        <w:t xml:space="preserve">prędkość - </w:t>
      </w:r>
      <w:r w:rsidRPr="00C31BDD">
        <w:rPr>
          <w:rFonts w:eastAsia="Calibri" w:cstheme="minorHAnsi"/>
          <w:bCs/>
          <w:color w:val="000000"/>
          <w:lang w:eastAsia="pl-PL"/>
        </w:rPr>
        <w:t>1 m/s - regulowana w całym zakresie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1DB4EAA9" w14:textId="77777777" w:rsidR="00C31BDD" w:rsidRPr="00C31BDD" w:rsidRDefault="00C31BDD" w:rsidP="00C31BDD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cstheme="minorHAnsi"/>
          <w:bCs/>
          <w:color w:val="000000"/>
          <w:lang w:eastAsia="pl-PL"/>
        </w:rPr>
      </w:pPr>
      <w:r w:rsidRPr="00C31BDD">
        <w:rPr>
          <w:rFonts w:cstheme="minorHAnsi"/>
        </w:rPr>
        <w:t xml:space="preserve">drzwi kabinowe - </w:t>
      </w:r>
      <w:r w:rsidRPr="00C31BDD">
        <w:rPr>
          <w:rFonts w:eastAsia="Calibri" w:cstheme="minorHAnsi"/>
          <w:bCs/>
          <w:color w:val="000000"/>
          <w:lang w:eastAsia="pl-PL"/>
        </w:rPr>
        <w:t>drzwi wewnętrzne windowe ppoż. zgodnie z klasą odporności normy</w:t>
      </w:r>
      <w:r w:rsidRPr="00C31BDD">
        <w:rPr>
          <w:rFonts w:cstheme="minorHAnsi"/>
          <w:bCs/>
          <w:color w:val="000000"/>
          <w:lang w:eastAsia="pl-PL"/>
        </w:rPr>
        <w:t xml:space="preserve"> </w:t>
      </w:r>
      <w:r w:rsidRPr="00C31BDD">
        <w:rPr>
          <w:rFonts w:eastAsia="Calibri" w:cstheme="minorHAnsi"/>
          <w:bCs/>
          <w:color w:val="000000"/>
          <w:lang w:eastAsia="pl-PL"/>
        </w:rPr>
        <w:t>EN/PN 81-58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409B202C" w14:textId="77777777" w:rsidR="00C31BDD" w:rsidRPr="00C31BDD" w:rsidRDefault="00C31BDD" w:rsidP="00C31BDD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C31BDD">
        <w:rPr>
          <w:rFonts w:cstheme="minorHAnsi"/>
        </w:rPr>
        <w:t xml:space="preserve">kabina dźwigu - </w:t>
      </w:r>
      <w:r w:rsidRPr="00C31BDD">
        <w:rPr>
          <w:rFonts w:cstheme="minorHAnsi"/>
          <w:bCs/>
          <w:color w:val="000000"/>
          <w:lang w:eastAsia="pl-PL"/>
        </w:rPr>
        <w:t>p</w:t>
      </w:r>
      <w:r w:rsidRPr="00C31BDD">
        <w:rPr>
          <w:rFonts w:eastAsia="Calibri" w:cstheme="minorHAnsi"/>
          <w:bCs/>
          <w:color w:val="000000"/>
          <w:lang w:eastAsia="pl-PL"/>
        </w:rPr>
        <w:t>rzelot kątowy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1A2E1C77" w14:textId="77777777" w:rsidR="00C31BDD" w:rsidRPr="00C31BDD" w:rsidRDefault="00C31BDD" w:rsidP="00C31BDD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</w:rPr>
        <w:t>wyposażenie kabiny:</w:t>
      </w:r>
    </w:p>
    <w:p w14:paraId="7606CAF5" w14:textId="77777777" w:rsidR="00C31BDD" w:rsidRPr="00C31BDD" w:rsidRDefault="00C31BDD" w:rsidP="00C31BDD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</w:rPr>
        <w:t>p</w:t>
      </w:r>
      <w:r w:rsidRPr="00C31BDD">
        <w:rPr>
          <w:rFonts w:eastAsia="Calibri" w:cstheme="minorHAnsi"/>
          <w:bCs/>
          <w:color w:val="000000"/>
          <w:lang w:eastAsia="pl-PL"/>
        </w:rPr>
        <w:t>anel dyspozycji na ścianie bocznej (wykonany ze stali nierdzewnej o wysokiej odporności na uszkodzenia, wyposażony w:</w:t>
      </w:r>
    </w:p>
    <w:p w14:paraId="7DA50F03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elektroniczny cyfrowy wyświetlacz pięter i strzałki kierunku jazdy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403DE997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 xml:space="preserve">wyświetlacz LCD, </w:t>
      </w:r>
    </w:p>
    <w:p w14:paraId="2237174E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  <w:bCs/>
          <w:color w:val="000000"/>
          <w:lang w:eastAsia="pl-PL"/>
        </w:rPr>
        <w:lastRenderedPageBreak/>
        <w:t>p</w:t>
      </w:r>
      <w:r w:rsidRPr="00C31BDD">
        <w:rPr>
          <w:rFonts w:eastAsia="Calibri" w:cstheme="minorHAnsi"/>
          <w:bCs/>
          <w:color w:val="000000"/>
          <w:lang w:eastAsia="pl-PL"/>
        </w:rPr>
        <w:t>odświetlane przyciski z grafiką Braille’a,</w:t>
      </w:r>
    </w:p>
    <w:p w14:paraId="3685CFD2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 xml:space="preserve">świetlną i dźwiękową sygnalizację przeciążenia kabiny, </w:t>
      </w:r>
    </w:p>
    <w:p w14:paraId="468285E1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przycisk zamykania i otwierania drzwi,</w:t>
      </w:r>
      <w:r w:rsidRPr="00C31BDD">
        <w:rPr>
          <w:rFonts w:cstheme="minorHAnsi"/>
          <w:bCs/>
          <w:color w:val="000000"/>
          <w:lang w:eastAsia="pl-PL"/>
        </w:rPr>
        <w:t xml:space="preserve"> </w:t>
      </w:r>
    </w:p>
    <w:p w14:paraId="1856D35F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VOX – system informacji głosowej w kabinie</w:t>
      </w:r>
      <w:r w:rsidRPr="00C31BDD">
        <w:rPr>
          <w:rFonts w:cstheme="minorHAnsi"/>
          <w:bCs/>
          <w:color w:val="000000"/>
          <w:lang w:eastAsia="pl-PL"/>
        </w:rPr>
        <w:t xml:space="preserve">, </w:t>
      </w:r>
    </w:p>
    <w:p w14:paraId="55F793B1" w14:textId="77777777" w:rsidR="00C31BDD" w:rsidRPr="00C31BDD" w:rsidRDefault="00C31BDD" w:rsidP="00C31BD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gong – sygnalizacja dojazdu na przystanek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15E9BF46" w14:textId="77777777" w:rsidR="00C31BDD" w:rsidRPr="00C31BDD" w:rsidRDefault="00C31BDD" w:rsidP="00C31BDD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  <w:bCs/>
          <w:color w:val="000000"/>
          <w:lang w:eastAsia="pl-PL"/>
        </w:rPr>
        <w:t>s</w:t>
      </w:r>
      <w:r w:rsidRPr="00C31BDD">
        <w:rPr>
          <w:rFonts w:eastAsia="Calibri" w:cstheme="minorHAnsi"/>
          <w:bCs/>
          <w:color w:val="000000"/>
          <w:lang w:eastAsia="pl-PL"/>
        </w:rPr>
        <w:t>ufit – płaski</w:t>
      </w:r>
      <w:r w:rsidRPr="00C31BDD">
        <w:rPr>
          <w:rFonts w:cstheme="minorHAnsi"/>
          <w:bCs/>
          <w:color w:val="000000"/>
          <w:lang w:eastAsia="pl-PL"/>
        </w:rPr>
        <w:t xml:space="preserve">, </w:t>
      </w:r>
    </w:p>
    <w:p w14:paraId="435BAF54" w14:textId="77777777" w:rsidR="00C31BDD" w:rsidRPr="00C31BDD" w:rsidRDefault="00C31BDD" w:rsidP="00C31BDD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  <w:bCs/>
          <w:lang w:eastAsia="pl-PL"/>
        </w:rPr>
        <w:t>monitoring wizyjny – kamera kopułowa IR,</w:t>
      </w:r>
    </w:p>
    <w:p w14:paraId="2F620D9F" w14:textId="77777777" w:rsidR="00C31BDD" w:rsidRPr="00C31BDD" w:rsidRDefault="00C31BDD" w:rsidP="00C31BDD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  <w:bCs/>
          <w:lang w:eastAsia="pl-PL"/>
        </w:rPr>
        <w:t>ryglowanie drzwi windy przy uruchomionym alarmie systemu włamania i napadu obiektu, powrót do funkcji po odblokowaniu systemu alarmowego,</w:t>
      </w:r>
    </w:p>
    <w:p w14:paraId="5FB15A03" w14:textId="77777777" w:rsidR="00C31BDD" w:rsidRPr="00C31BDD" w:rsidRDefault="00C31BDD" w:rsidP="00C31BDD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cstheme="minorHAnsi"/>
          <w:bCs/>
          <w:color w:val="000000"/>
          <w:lang w:eastAsia="pl-PL"/>
        </w:rPr>
        <w:t xml:space="preserve">oświetlenie </w:t>
      </w:r>
      <w:r w:rsidRPr="00C31BDD">
        <w:rPr>
          <w:rFonts w:eastAsia="Calibri" w:cstheme="minorHAnsi"/>
          <w:bCs/>
          <w:color w:val="000000"/>
          <w:lang w:eastAsia="pl-PL"/>
        </w:rPr>
        <w:t xml:space="preserve"> umieszczone w suficie, energoos</w:t>
      </w:r>
      <w:r w:rsidRPr="00C31BDD">
        <w:rPr>
          <w:rFonts w:cstheme="minorHAnsi"/>
          <w:bCs/>
          <w:color w:val="000000"/>
          <w:lang w:eastAsia="pl-PL"/>
        </w:rPr>
        <w:t>zczędne panele LED,</w:t>
      </w:r>
    </w:p>
    <w:p w14:paraId="31D70958" w14:textId="77777777" w:rsidR="00C31BDD" w:rsidRPr="00C31BDD" w:rsidRDefault="00C31BDD" w:rsidP="00C31BDD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cstheme="minorHAnsi"/>
        </w:rPr>
      </w:pPr>
      <w:r w:rsidRPr="00C31BDD">
        <w:rPr>
          <w:rFonts w:eastAsia="Calibri" w:cstheme="minorHAnsi"/>
          <w:bCs/>
          <w:color w:val="000000"/>
          <w:lang w:eastAsia="pl-PL"/>
        </w:rPr>
        <w:t>wykonanie – stal nierdzewna</w:t>
      </w:r>
      <w:r w:rsidRPr="00C31BDD">
        <w:rPr>
          <w:rFonts w:cstheme="minorHAnsi"/>
          <w:bCs/>
          <w:color w:val="000000"/>
          <w:lang w:eastAsia="pl-PL"/>
        </w:rPr>
        <w:t xml:space="preserve"> – s</w:t>
      </w:r>
      <w:r w:rsidRPr="00C31BDD">
        <w:rPr>
          <w:rFonts w:eastAsia="Calibri" w:cstheme="minorHAnsi"/>
          <w:bCs/>
          <w:color w:val="000000"/>
          <w:lang w:eastAsia="pl-PL"/>
        </w:rPr>
        <w:t>atyna</w:t>
      </w:r>
      <w:r w:rsidRPr="00C31BDD">
        <w:rPr>
          <w:rFonts w:cstheme="minorHAnsi"/>
          <w:bCs/>
          <w:color w:val="000000"/>
          <w:lang w:eastAsia="pl-PL"/>
        </w:rPr>
        <w:t>,</w:t>
      </w:r>
    </w:p>
    <w:p w14:paraId="218E5029" w14:textId="77777777" w:rsidR="00C31BDD" w:rsidRPr="00C31BDD" w:rsidRDefault="00C31BDD" w:rsidP="00C31BDD">
      <w:pPr>
        <w:pStyle w:val="Akapitzlist"/>
        <w:numPr>
          <w:ilvl w:val="0"/>
          <w:numId w:val="13"/>
        </w:numPr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częściowe odtworzenie wypraw placu miejskiego z materiałów zdemontowanych lub nowych (w przypadku zniszczenia podczas demontażu) z dostawą i montażem systemowej wycieraczki metalowej o wymiarach 160x80 cm, niewykorzystane materiały rozbiórkowe  wyprawy placu zmagazynowane na palecie do przekazania Inwestorowi.</w:t>
      </w:r>
    </w:p>
    <w:p w14:paraId="6BA5EA8A" w14:textId="77777777" w:rsidR="00C31BDD" w:rsidRPr="00C31BDD" w:rsidRDefault="00C31BDD" w:rsidP="00C31BDD">
      <w:pPr>
        <w:jc w:val="both"/>
        <w:rPr>
          <w:rFonts w:cstheme="minorHAnsi"/>
          <w:b/>
        </w:rPr>
      </w:pPr>
      <w:r w:rsidRPr="00C31BDD">
        <w:rPr>
          <w:rFonts w:cstheme="minorHAnsi"/>
          <w:b/>
        </w:rPr>
        <w:t>B. Roboty branży elektrycznej w postaci:</w:t>
      </w:r>
    </w:p>
    <w:p w14:paraId="5723B26F" w14:textId="77777777" w:rsidR="00C31BDD" w:rsidRPr="00C31BDD" w:rsidRDefault="00C31BDD" w:rsidP="00C31BDD">
      <w:pPr>
        <w:pStyle w:val="Akapitzlist"/>
        <w:numPr>
          <w:ilvl w:val="0"/>
          <w:numId w:val="14"/>
        </w:numPr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wykonanie instalacji elektroinstalacyjnych zasilających, sterowniczych, oświetlenia podstawowego i awaryjnego.</w:t>
      </w:r>
    </w:p>
    <w:p w14:paraId="0F81215F" w14:textId="77777777" w:rsidR="00C31BDD" w:rsidRPr="00C31BDD" w:rsidRDefault="00C31BDD" w:rsidP="00C31BDD">
      <w:pPr>
        <w:pStyle w:val="Akapitzlist"/>
        <w:numPr>
          <w:ilvl w:val="0"/>
          <w:numId w:val="14"/>
        </w:numPr>
        <w:tabs>
          <w:tab w:val="left" w:pos="0"/>
        </w:tabs>
        <w:ind w:left="284" w:hanging="284"/>
        <w:jc w:val="both"/>
        <w:rPr>
          <w:rFonts w:eastAsia="Calibri" w:cstheme="minorHAnsi"/>
          <w:b/>
          <w:bCs/>
        </w:rPr>
      </w:pPr>
      <w:r w:rsidRPr="00C31BDD">
        <w:rPr>
          <w:rFonts w:cstheme="minorHAnsi"/>
        </w:rPr>
        <w:t>wykonanie zasilania</w:t>
      </w:r>
      <w:r w:rsidRPr="00C31BDD">
        <w:rPr>
          <w:rFonts w:eastAsia="Calibri" w:cstheme="minorHAnsi"/>
        </w:rPr>
        <w:t xml:space="preserve"> nowo projektowanej windy</w:t>
      </w:r>
      <w:r w:rsidRPr="00C31BDD">
        <w:rPr>
          <w:rFonts w:cstheme="minorHAnsi"/>
        </w:rPr>
        <w:t>(zgodnie z zaleceniami jej producenta)</w:t>
      </w:r>
      <w:r w:rsidRPr="00C31BDD">
        <w:rPr>
          <w:rFonts w:eastAsia="Calibri" w:cstheme="minorHAnsi"/>
        </w:rPr>
        <w:t xml:space="preserve"> z istniejącego złącza kablowego. Zabezpieczenie C63A umiejscowić poza złączem kablowym w obudowie plastikowej o szczelności IP56. Zasilanie projektowanej windy wykonać kablem YKXs 5x16mm2 . Wybudować nową trasę kablową w rurze instalacyjnej ϕ50mm </w:t>
      </w:r>
      <w:r w:rsidRPr="00C31BDD">
        <w:rPr>
          <w:rFonts w:eastAsia="Calibri" w:cstheme="minorHAnsi"/>
          <w:color w:val="000000"/>
        </w:rPr>
        <w:t xml:space="preserve">pod sufitem w korytarzu piwnicy, następnie po ścianie szybu windowego </w:t>
      </w:r>
      <w:r w:rsidRPr="00C31BDD">
        <w:rPr>
          <w:rFonts w:eastAsia="Calibri" w:cstheme="minorHAnsi"/>
        </w:rPr>
        <w:t>na poddasze pionowo wzdłuż ściany do p</w:t>
      </w:r>
      <w:r w:rsidRPr="00C31BDD">
        <w:rPr>
          <w:rFonts w:cstheme="minorHAnsi"/>
        </w:rPr>
        <w:t xml:space="preserve">omieszczenia serwisowego windy i zakończyć </w:t>
      </w:r>
      <w:r w:rsidRPr="00C31BDD">
        <w:rPr>
          <w:rFonts w:eastAsia="Calibri" w:cstheme="minorHAnsi"/>
        </w:rPr>
        <w:t>rozdzielnicą TBW</w:t>
      </w:r>
      <w:r w:rsidRPr="00C31BDD">
        <w:rPr>
          <w:rFonts w:cstheme="minorHAnsi"/>
        </w:rPr>
        <w:t xml:space="preserve"> (</w:t>
      </w:r>
      <w:r w:rsidRPr="00C31BDD">
        <w:rPr>
          <w:rFonts w:eastAsia="Calibri" w:cstheme="minorHAnsi"/>
        </w:rPr>
        <w:t>natynkową</w:t>
      </w:r>
      <w:r w:rsidRPr="00C31BDD">
        <w:rPr>
          <w:rFonts w:cstheme="minorHAnsi"/>
        </w:rPr>
        <w:t>,</w:t>
      </w:r>
      <w:r w:rsidRPr="00C31BDD">
        <w:rPr>
          <w:rFonts w:eastAsia="Calibri" w:cstheme="minorHAnsi"/>
        </w:rPr>
        <w:t xml:space="preserve"> 72 modułową</w:t>
      </w:r>
      <w:r w:rsidRPr="00C31BDD">
        <w:rPr>
          <w:rFonts w:cstheme="minorHAnsi"/>
        </w:rPr>
        <w:t xml:space="preserve">, </w:t>
      </w:r>
      <w:r w:rsidRPr="00C31BDD">
        <w:rPr>
          <w:rFonts w:eastAsia="Calibri" w:cstheme="minorHAnsi"/>
        </w:rPr>
        <w:t>szczelności IP 56</w:t>
      </w:r>
      <w:r w:rsidRPr="00C31BDD">
        <w:rPr>
          <w:rFonts w:cstheme="minorHAnsi"/>
        </w:rPr>
        <w:t>)</w:t>
      </w:r>
      <w:r w:rsidRPr="00C31BDD">
        <w:rPr>
          <w:rFonts w:eastAsia="Calibri" w:cstheme="minorHAnsi"/>
        </w:rPr>
        <w:t xml:space="preserve">. Linię zasilającą zabezpieczyć wyłącznikiem S303C32A i rozłącznikiem FR100A. </w:t>
      </w:r>
      <w:r w:rsidRPr="00C31BDD">
        <w:rPr>
          <w:rFonts w:cstheme="minorHAnsi"/>
        </w:rPr>
        <w:t>W</w:t>
      </w:r>
      <w:r w:rsidRPr="00C31BDD">
        <w:rPr>
          <w:rFonts w:eastAsia="Calibri" w:cstheme="minorHAnsi"/>
        </w:rPr>
        <w:t xml:space="preserve"> rozdzielnicy TBW </w:t>
      </w:r>
      <w:r w:rsidRPr="00C31BDD">
        <w:rPr>
          <w:rFonts w:cstheme="minorHAnsi"/>
        </w:rPr>
        <w:t xml:space="preserve">wykonać szynę wyrównawczą LSW do której </w:t>
      </w:r>
      <w:r w:rsidRPr="00C31BDD">
        <w:rPr>
          <w:rFonts w:eastAsia="Calibri" w:cstheme="minorHAnsi"/>
        </w:rPr>
        <w:t xml:space="preserve">podłączyć wszystkie projektowane urządzenia elektryczne i technologiczne. </w:t>
      </w:r>
      <w:r w:rsidRPr="00C31BDD">
        <w:rPr>
          <w:rFonts w:cstheme="minorHAnsi"/>
        </w:rPr>
        <w:t xml:space="preserve">Wykonać ochronę przeciwporażeniową wyłącznikiem różnicowo-prądowym z samoczynnym wyłączeniem w sieci TN-S za pomocą </w:t>
      </w:r>
      <w:r w:rsidRPr="00C31BDD">
        <w:rPr>
          <w:rFonts w:eastAsia="Calibri" w:cstheme="minorHAnsi"/>
        </w:rPr>
        <w:t>wyłączników nadmiarowo-prądowych,</w:t>
      </w:r>
    </w:p>
    <w:p w14:paraId="67E9F334" w14:textId="77777777" w:rsidR="00C31BDD" w:rsidRPr="00C31BDD" w:rsidRDefault="00C31BDD" w:rsidP="00C31BDD">
      <w:pPr>
        <w:pStyle w:val="Akapitzlist"/>
        <w:numPr>
          <w:ilvl w:val="0"/>
          <w:numId w:val="14"/>
        </w:numPr>
        <w:tabs>
          <w:tab w:val="left" w:pos="0"/>
        </w:tabs>
        <w:ind w:left="284" w:hanging="284"/>
        <w:jc w:val="both"/>
        <w:rPr>
          <w:rFonts w:cstheme="minorHAnsi"/>
          <w:bCs/>
        </w:rPr>
      </w:pPr>
      <w:r w:rsidRPr="00C31BDD">
        <w:rPr>
          <w:rFonts w:cstheme="minorHAnsi"/>
          <w:bCs/>
        </w:rPr>
        <w:t>wykonanie oświetlenia</w:t>
      </w:r>
      <w:r w:rsidRPr="00C31BDD">
        <w:rPr>
          <w:rFonts w:eastAsia="Calibri" w:cstheme="minorHAnsi"/>
          <w:bCs/>
        </w:rPr>
        <w:t xml:space="preserve"> </w:t>
      </w:r>
      <w:r w:rsidRPr="00C31BDD">
        <w:rPr>
          <w:rFonts w:cstheme="minorHAnsi"/>
          <w:bCs/>
        </w:rPr>
        <w:t xml:space="preserve">LED </w:t>
      </w:r>
      <w:r w:rsidRPr="00C31BDD">
        <w:rPr>
          <w:rFonts w:eastAsia="Calibri" w:cstheme="minorHAnsi"/>
          <w:bCs/>
        </w:rPr>
        <w:t xml:space="preserve">w pomieszczeniach towarzyszących </w:t>
      </w:r>
      <w:r w:rsidRPr="00C31BDD">
        <w:rPr>
          <w:rFonts w:cstheme="minorHAnsi"/>
          <w:bCs/>
        </w:rPr>
        <w:t>tj. w wiatrołapie oraz strefie poddasza a także przed wejściem do wiatrołapu,</w:t>
      </w:r>
    </w:p>
    <w:p w14:paraId="15240CDA" w14:textId="77777777" w:rsidR="00C31BDD" w:rsidRPr="00C31BDD" w:rsidRDefault="00C31BDD" w:rsidP="00C31BDD">
      <w:pPr>
        <w:pStyle w:val="Akapitzlist"/>
        <w:numPr>
          <w:ilvl w:val="0"/>
          <w:numId w:val="14"/>
        </w:numPr>
        <w:tabs>
          <w:tab w:val="left" w:pos="0"/>
        </w:tabs>
        <w:ind w:left="284" w:hanging="284"/>
        <w:jc w:val="both"/>
        <w:rPr>
          <w:rFonts w:eastAsia="Calibri" w:cstheme="minorHAnsi"/>
          <w:bCs/>
        </w:rPr>
      </w:pPr>
      <w:r w:rsidRPr="00C31BDD">
        <w:rPr>
          <w:rFonts w:cstheme="minorHAnsi"/>
          <w:bCs/>
        </w:rPr>
        <w:t>wykonanie zasilania drzwi automatycznych wiatrołapu z manualnym wyłącznikiem zasilania po godzinach pracy obiektu oraz w dni wolne od pracy usytuowanym w zamykanej skrzynce zlokalizowanej w korytarzu parteru,</w:t>
      </w:r>
    </w:p>
    <w:p w14:paraId="230DBD72" w14:textId="77777777" w:rsidR="00C31BDD" w:rsidRPr="00C31BDD" w:rsidRDefault="00C31BDD" w:rsidP="00C31BDD">
      <w:pPr>
        <w:pStyle w:val="Akapitzlist"/>
        <w:numPr>
          <w:ilvl w:val="0"/>
          <w:numId w:val="14"/>
        </w:numPr>
        <w:tabs>
          <w:tab w:val="left" w:pos="0"/>
        </w:tabs>
        <w:ind w:left="284" w:hanging="284"/>
        <w:jc w:val="both"/>
        <w:rPr>
          <w:rFonts w:eastAsia="Calibri" w:cstheme="minorHAnsi"/>
          <w:bCs/>
        </w:rPr>
      </w:pPr>
      <w:r w:rsidRPr="00C31BDD">
        <w:rPr>
          <w:rFonts w:cstheme="minorHAnsi"/>
          <w:bCs/>
        </w:rPr>
        <w:t>rozbudowa istniejącego systemu napadu i włamania obiektu o czujnik ruchu w pomieszczeniu przedsionka windy z ryglowaniem drzwi kabiny windy.</w:t>
      </w:r>
    </w:p>
    <w:p w14:paraId="6129855F" w14:textId="77777777" w:rsidR="00C31BDD" w:rsidRPr="00C31BDD" w:rsidRDefault="00C31BDD" w:rsidP="00C31BDD">
      <w:pPr>
        <w:jc w:val="both"/>
        <w:rPr>
          <w:rFonts w:cstheme="minorHAnsi"/>
          <w:b/>
        </w:rPr>
      </w:pPr>
      <w:r w:rsidRPr="00C31BDD">
        <w:rPr>
          <w:rFonts w:cstheme="minorHAnsi"/>
          <w:b/>
        </w:rPr>
        <w:t>C. Roboty branży sanitarnej w postaci:</w:t>
      </w:r>
    </w:p>
    <w:p w14:paraId="10EE67E1" w14:textId="77777777" w:rsidR="00C31BDD" w:rsidRPr="00C31BDD" w:rsidRDefault="00C31BDD" w:rsidP="00C31BDD">
      <w:pPr>
        <w:pStyle w:val="Akapitzlist"/>
        <w:numPr>
          <w:ilvl w:val="0"/>
          <w:numId w:val="20"/>
        </w:numPr>
        <w:tabs>
          <w:tab w:val="left" w:pos="-1276"/>
        </w:tabs>
        <w:ind w:left="284" w:hanging="284"/>
        <w:jc w:val="both"/>
        <w:rPr>
          <w:rFonts w:cstheme="minorHAnsi"/>
        </w:rPr>
      </w:pPr>
      <w:r w:rsidRPr="00C31BDD">
        <w:rPr>
          <w:rFonts w:cstheme="minorHAnsi"/>
        </w:rPr>
        <w:t>wykonanie instalacji c.o. z rur warstwowych z włączeniem do istniejącej instalacji c.o. budynku oraz montażem grzejnika stalowego, płytowego z podejściem bocznym z zaworem grzejnikowym i głowicą termostatyczną  w pomieszczeniu przedsionka szybu windowego.</w:t>
      </w:r>
    </w:p>
    <w:p w14:paraId="2513D877" w14:textId="77777777" w:rsidR="00C31BDD" w:rsidRPr="00C31BDD" w:rsidRDefault="00C31BDD" w:rsidP="00C31BDD">
      <w:pPr>
        <w:tabs>
          <w:tab w:val="left" w:pos="-3402"/>
        </w:tabs>
        <w:spacing w:after="0" w:line="276" w:lineRule="auto"/>
        <w:jc w:val="both"/>
        <w:rPr>
          <w:rFonts w:cstheme="minorHAnsi"/>
          <w:b/>
          <w:bCs/>
        </w:rPr>
      </w:pPr>
      <w:r w:rsidRPr="00C31BDD">
        <w:rPr>
          <w:rFonts w:cstheme="minorHAnsi"/>
          <w:b/>
          <w:bCs/>
        </w:rPr>
        <w:t>Do zadań Wykonawcy należy również:</w:t>
      </w:r>
    </w:p>
    <w:p w14:paraId="056409C7" w14:textId="77777777" w:rsidR="00C31BDD" w:rsidRPr="00C31BDD" w:rsidRDefault="00C31BDD" w:rsidP="00C31BDD">
      <w:pPr>
        <w:tabs>
          <w:tab w:val="left" w:pos="284"/>
        </w:tabs>
        <w:spacing w:after="0" w:line="240" w:lineRule="auto"/>
        <w:ind w:left="284" w:hanging="142"/>
        <w:jc w:val="both"/>
        <w:rPr>
          <w:rFonts w:cstheme="minorHAnsi"/>
        </w:rPr>
      </w:pPr>
      <w:r w:rsidRPr="00C31BDD">
        <w:rPr>
          <w:rFonts w:cstheme="minorHAnsi"/>
        </w:rPr>
        <w:t>-</w:t>
      </w:r>
      <w:r w:rsidRPr="00C31BDD">
        <w:rPr>
          <w:rFonts w:cstheme="minorHAnsi"/>
        </w:rPr>
        <w:tab/>
        <w:t>opracowanie geodezyjnej inwentaryzacji powykonawczej - 3 egz.,</w:t>
      </w:r>
    </w:p>
    <w:p w14:paraId="69D7C1C6" w14:textId="77777777" w:rsidR="00C31BDD" w:rsidRPr="00C31BDD" w:rsidRDefault="00C31BDD" w:rsidP="00C31BDD">
      <w:pPr>
        <w:spacing w:after="0"/>
        <w:ind w:left="284" w:hanging="142"/>
        <w:jc w:val="both"/>
        <w:rPr>
          <w:rFonts w:cstheme="minorHAnsi"/>
        </w:rPr>
      </w:pPr>
      <w:r w:rsidRPr="00C31BDD">
        <w:rPr>
          <w:rFonts w:cstheme="minorHAnsi"/>
        </w:rPr>
        <w:t xml:space="preserve">- </w:t>
      </w:r>
      <w:r w:rsidRPr="00C31BDD">
        <w:rPr>
          <w:rFonts w:eastAsia="Times New Roman" w:cstheme="minorHAnsi"/>
          <w:lang w:eastAsia="pl-PL"/>
        </w:rPr>
        <w:t xml:space="preserve">rejestracja w imieniu  inwestora windy (dźwigu) w UDT przed oddaniem jej do eksploatacji (złożenie wniosku do właściwego oddziału UDT, zgromadzenie dokumentacji (DTR, certyfikaty, </w:t>
      </w:r>
      <w:r w:rsidRPr="00C31BDD">
        <w:rPr>
          <w:rFonts w:eastAsia="Times New Roman" w:cstheme="minorHAnsi"/>
          <w:lang w:eastAsia="pl-PL"/>
        </w:rPr>
        <w:lastRenderedPageBreak/>
        <w:t>poświadczenie montażu) oraz pozytywne przejście badania technicznego z udziałem inspektora UDT),</w:t>
      </w:r>
    </w:p>
    <w:p w14:paraId="1531C8C3" w14:textId="77777777" w:rsidR="00C31BDD" w:rsidRPr="00C31BDD" w:rsidRDefault="00C31BDD" w:rsidP="00C31BDD">
      <w:pPr>
        <w:spacing w:after="0"/>
        <w:ind w:left="284" w:hanging="142"/>
        <w:jc w:val="both"/>
        <w:rPr>
          <w:rFonts w:cstheme="minorHAnsi"/>
        </w:rPr>
      </w:pPr>
      <w:r w:rsidRPr="00C31BDD">
        <w:rPr>
          <w:rFonts w:cstheme="minorHAnsi"/>
        </w:rPr>
        <w:t>- uzyskaniu w imieniu zamawiającego decyzji pozwolenia na użytkowanie  w tym przygotowanie powiadomień do SANEPID i Straż Pożarna, uczestniczeniu w kontrolach obiektu, usuwania stwierdzonych wad i uchybień , poniesienia kosztu i uzyskania pozytywnych protokołów kontroli,</w:t>
      </w:r>
    </w:p>
    <w:p w14:paraId="31EF8FAC" w14:textId="77777777" w:rsidR="00C31BDD" w:rsidRPr="00C31BDD" w:rsidRDefault="00C31BDD" w:rsidP="00C31BDD">
      <w:pPr>
        <w:tabs>
          <w:tab w:val="left" w:pos="-2552"/>
        </w:tabs>
        <w:spacing w:after="0"/>
        <w:ind w:left="284" w:right="60" w:hanging="142"/>
        <w:jc w:val="both"/>
        <w:rPr>
          <w:rFonts w:cstheme="minorHAnsi"/>
        </w:rPr>
      </w:pPr>
      <w:r w:rsidRPr="00C31BDD">
        <w:rPr>
          <w:rFonts w:cstheme="minorHAnsi"/>
        </w:rPr>
        <w:t xml:space="preserve">- Zamawiający przewiduje </w:t>
      </w:r>
      <w:r w:rsidRPr="00C31BDD">
        <w:rPr>
          <w:rFonts w:cstheme="minorHAnsi"/>
          <w:b/>
        </w:rPr>
        <w:t>etapowe - kwartalne</w:t>
      </w:r>
      <w:r w:rsidRPr="00C31BDD">
        <w:rPr>
          <w:rFonts w:cstheme="minorHAnsi"/>
        </w:rPr>
        <w:t xml:space="preserve"> rozliczenie robót uzależniając płatność za konkretny etap realizacji robót zgodny z przedstawionym i zaakceptowanym harmonogramem rzeczowo-finansowym, ich faktycznym wykonaniem potwierdzonym przez Inspektorów nadzoru inwestorskiego, pisemnym zgłoszeniem zakończenia etapu robót złożonym Zamawiającemu oraz po protokolarnym potwierdzeniu tego faktu,</w:t>
      </w:r>
    </w:p>
    <w:p w14:paraId="4E67811E" w14:textId="77777777" w:rsidR="00C31BDD" w:rsidRPr="00C31BDD" w:rsidRDefault="00C31BDD" w:rsidP="00C31BDD">
      <w:pPr>
        <w:spacing w:after="0"/>
        <w:ind w:left="284" w:right="60" w:hanging="142"/>
        <w:jc w:val="both"/>
        <w:rPr>
          <w:rFonts w:cstheme="minorHAnsi"/>
        </w:rPr>
      </w:pPr>
      <w:r w:rsidRPr="00C31BDD">
        <w:rPr>
          <w:rFonts w:cstheme="minorHAnsi"/>
        </w:rPr>
        <w:t>- Zamawiający informuje, że koszty związane z poborem energii elektrycznej, energii cieplnej, wody oraz zabezpieczeniem sanitarnym ponosi Wykonawca w oparciu o odrębne umowy z gestorami sieci bądź ze specjalistycznymi firmami realizującymi takie usługi,</w:t>
      </w:r>
    </w:p>
    <w:p w14:paraId="73D1283F" w14:textId="77777777" w:rsidR="00C31BDD" w:rsidRPr="00C31BDD" w:rsidRDefault="00C31BDD" w:rsidP="00C31BDD">
      <w:pPr>
        <w:spacing w:after="0"/>
        <w:ind w:left="284" w:right="60" w:hanging="142"/>
        <w:jc w:val="both"/>
        <w:rPr>
          <w:rFonts w:cstheme="minorHAnsi"/>
        </w:rPr>
      </w:pPr>
      <w:r w:rsidRPr="00C31BDD">
        <w:rPr>
          <w:rFonts w:cstheme="minorHAnsi"/>
        </w:rPr>
        <w:t>- Wykonawca dokona:</w:t>
      </w:r>
    </w:p>
    <w:p w14:paraId="3A01FC9D" w14:textId="77777777" w:rsidR="00C31BDD" w:rsidRPr="00C31BDD" w:rsidRDefault="00C31BDD" w:rsidP="00C31BDD">
      <w:pPr>
        <w:spacing w:after="0"/>
        <w:ind w:left="284"/>
        <w:jc w:val="both"/>
        <w:rPr>
          <w:rFonts w:cstheme="minorHAnsi"/>
        </w:rPr>
      </w:pPr>
      <w:r w:rsidRPr="00C31BDD">
        <w:rPr>
          <w:rFonts w:cstheme="minorHAnsi"/>
        </w:rPr>
        <w:t>- przeprowadzenie ruchów próbnych windy, oświetlenia w tym awaryjnego i ewakuacyjnego, instalacji c.o.,</w:t>
      </w:r>
    </w:p>
    <w:p w14:paraId="7944D318" w14:textId="77777777" w:rsidR="00C31BDD" w:rsidRPr="00C31BDD" w:rsidRDefault="00C31BDD" w:rsidP="00C31BDD">
      <w:pPr>
        <w:spacing w:after="0"/>
        <w:ind w:left="284"/>
        <w:jc w:val="both"/>
        <w:rPr>
          <w:rFonts w:cstheme="minorHAnsi"/>
        </w:rPr>
      </w:pPr>
      <w:r w:rsidRPr="00C31BDD">
        <w:rPr>
          <w:rFonts w:cstheme="minorHAnsi"/>
        </w:rPr>
        <w:t>Z ww. ruchów próbnych należy sporządzić stosowne protokołu. Ruchy próbne prowadzić do czasu uzyskania pozytywnych, zakładanych projektem efektów ( np. załączanie oświetlenie awaryjne i ewakuacyjne itp.),</w:t>
      </w:r>
    </w:p>
    <w:p w14:paraId="60634B89" w14:textId="77777777" w:rsidR="00C31BDD" w:rsidRPr="00C31BDD" w:rsidRDefault="00C31BDD" w:rsidP="00C31BDD">
      <w:pPr>
        <w:ind w:left="284"/>
        <w:jc w:val="both"/>
        <w:rPr>
          <w:rFonts w:cstheme="minorHAnsi"/>
        </w:rPr>
      </w:pPr>
      <w:r w:rsidRPr="00C31BDD">
        <w:rPr>
          <w:rFonts w:cstheme="minorHAnsi"/>
        </w:rPr>
        <w:t>- złożenie przed podpisaniem umowy kosztorysu ofertowego a po wykonaniu zadania kosztorysu powykonawczego,</w:t>
      </w:r>
    </w:p>
    <w:p w14:paraId="5BAED5F7" w14:textId="51CEA9B1" w:rsidR="00C31BDD" w:rsidRPr="00C31BDD" w:rsidRDefault="00C31BDD" w:rsidP="00C31BDD">
      <w:pPr>
        <w:spacing w:after="0" w:line="240" w:lineRule="auto"/>
        <w:ind w:firstLine="426"/>
        <w:jc w:val="both"/>
        <w:rPr>
          <w:rFonts w:cstheme="minorHAnsi"/>
          <w:b/>
          <w:u w:val="single"/>
        </w:rPr>
      </w:pPr>
      <w:r w:rsidRPr="00C31BDD">
        <w:rPr>
          <w:rFonts w:cstheme="minorHAnsi"/>
          <w:u w:val="single"/>
        </w:rPr>
        <w:t xml:space="preserve">Inwestycję należy wycenić i wykonać zgodnie z dokumentacją projektową, </w:t>
      </w:r>
      <w:r w:rsidRPr="00C31BDD">
        <w:rPr>
          <w:rFonts w:cstheme="minorHAnsi"/>
          <w:b/>
          <w:u w:val="single"/>
        </w:rPr>
        <w:t>przedmiar robót jest jedynie elementem pomocniczym do przygotowania oferty.</w:t>
      </w:r>
    </w:p>
    <w:p w14:paraId="3DB3B17B" w14:textId="761431AD" w:rsidR="00DE72D0" w:rsidRPr="00C31BDD" w:rsidRDefault="00C31BDD" w:rsidP="00C31BDD">
      <w:pPr>
        <w:pStyle w:val="NormalnyWeb"/>
        <w:spacing w:after="0" w:afterAutospacing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1BDD">
        <w:rPr>
          <w:rFonts w:asciiTheme="minorHAnsi" w:hAnsiTheme="minorHAnsi" w:cstheme="minorHAnsi"/>
          <w:bCs/>
          <w:sz w:val="22"/>
          <w:szCs w:val="22"/>
        </w:rPr>
        <w:t xml:space="preserve">Zamawiający zgodnie z art. 101 ust. 4 prawa zamówień publicznych informuje, że ilekroć w dokumentacji zamówienia wskazane zostały normy, oceny techniczne, specyfikacje techniczne i systemy referencji technicznych dopuszcza się również rozwiązania równoważne z opisywanymi w powyższych dokumentach. Tym samym do wymaganych cech materiału, produktu lub usługi, dopuszczalne są rozwiązania wskazane w tych dokumentach „ lub równoważne”. </w:t>
      </w:r>
    </w:p>
    <w:sectPr w:rsidR="00DE72D0" w:rsidRPr="00C31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0071" w14:textId="77777777" w:rsidR="00E4178D" w:rsidRDefault="00E4178D" w:rsidP="00DE72D0">
      <w:pPr>
        <w:spacing w:after="0" w:line="240" w:lineRule="auto"/>
      </w:pPr>
      <w:r>
        <w:separator/>
      </w:r>
    </w:p>
  </w:endnote>
  <w:endnote w:type="continuationSeparator" w:id="0">
    <w:p w14:paraId="49C3E0AD" w14:textId="77777777" w:rsidR="00E4178D" w:rsidRDefault="00E4178D" w:rsidP="00DE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D21A1" w14:textId="77777777" w:rsidR="00E4178D" w:rsidRDefault="00E4178D" w:rsidP="00DE72D0">
      <w:pPr>
        <w:spacing w:after="0" w:line="240" w:lineRule="auto"/>
      </w:pPr>
      <w:r>
        <w:separator/>
      </w:r>
    </w:p>
  </w:footnote>
  <w:footnote w:type="continuationSeparator" w:id="0">
    <w:p w14:paraId="4413030F" w14:textId="77777777" w:rsidR="00E4178D" w:rsidRDefault="00E4178D" w:rsidP="00DE7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875A0"/>
    <w:multiLevelType w:val="hybridMultilevel"/>
    <w:tmpl w:val="4218DD2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EE4E7F"/>
    <w:multiLevelType w:val="hybridMultilevel"/>
    <w:tmpl w:val="2320CB1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231935"/>
    <w:multiLevelType w:val="hybridMultilevel"/>
    <w:tmpl w:val="8AA2D42A"/>
    <w:lvl w:ilvl="0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" w15:restartNumberingAfterBreak="0">
    <w:nsid w:val="16A02E37"/>
    <w:multiLevelType w:val="hybridMultilevel"/>
    <w:tmpl w:val="B6C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C6DF3"/>
    <w:multiLevelType w:val="hybridMultilevel"/>
    <w:tmpl w:val="A33006EE"/>
    <w:lvl w:ilvl="0" w:tplc="04150017">
      <w:start w:val="1"/>
      <w:numFmt w:val="lowerLetter"/>
      <w:lvlText w:val="%1)"/>
      <w:lvlJc w:val="left"/>
      <w:pPr>
        <w:ind w:left="1168" w:hanging="360"/>
      </w:pPr>
      <w:rPr>
        <w:color w:val="auto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5" w15:restartNumberingAfterBreak="0">
    <w:nsid w:val="218F12E5"/>
    <w:multiLevelType w:val="hybridMultilevel"/>
    <w:tmpl w:val="0D72366E"/>
    <w:lvl w:ilvl="0" w:tplc="3BA0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524BA"/>
    <w:multiLevelType w:val="hybridMultilevel"/>
    <w:tmpl w:val="5B6CA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D0027"/>
    <w:multiLevelType w:val="hybridMultilevel"/>
    <w:tmpl w:val="F10C0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54C14"/>
    <w:multiLevelType w:val="hybridMultilevel"/>
    <w:tmpl w:val="6772140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0CA3ADF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4AB4"/>
    <w:multiLevelType w:val="hybridMultilevel"/>
    <w:tmpl w:val="3648E532"/>
    <w:lvl w:ilvl="0" w:tplc="A87E6A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5008F5"/>
    <w:multiLevelType w:val="hybridMultilevel"/>
    <w:tmpl w:val="F50C7A36"/>
    <w:lvl w:ilvl="0" w:tplc="983A5922">
      <w:start w:val="1"/>
      <w:numFmt w:val="upperRoman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</w:rPr>
    </w:lvl>
    <w:lvl w:ilvl="1" w:tplc="ECB80B5C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  <w:b w:val="0"/>
        <w:color w:val="auto"/>
        <w:sz w:val="24"/>
        <w:szCs w:val="24"/>
      </w:rPr>
    </w:lvl>
    <w:lvl w:ilvl="2" w:tplc="2EE44986">
      <w:start w:val="3"/>
      <w:numFmt w:val="decimal"/>
      <w:lvlText w:val="%3"/>
      <w:lvlJc w:val="left"/>
      <w:pPr>
        <w:ind w:left="22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2" w15:restartNumberingAfterBreak="0">
    <w:nsid w:val="5A5B1C50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02300"/>
    <w:multiLevelType w:val="hybridMultilevel"/>
    <w:tmpl w:val="8990E446"/>
    <w:lvl w:ilvl="0" w:tplc="3BA0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A0A48"/>
    <w:multiLevelType w:val="hybridMultilevel"/>
    <w:tmpl w:val="27F09B18"/>
    <w:lvl w:ilvl="0" w:tplc="0415000B">
      <w:start w:val="1"/>
      <w:numFmt w:val="bullet"/>
      <w:lvlText w:val=""/>
      <w:lvlJc w:val="left"/>
      <w:pPr>
        <w:ind w:left="15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5" w15:restartNumberingAfterBreak="0">
    <w:nsid w:val="6F56130A"/>
    <w:multiLevelType w:val="hybridMultilevel"/>
    <w:tmpl w:val="31060E6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9D0D86"/>
    <w:multiLevelType w:val="hybridMultilevel"/>
    <w:tmpl w:val="E192347E"/>
    <w:lvl w:ilvl="0" w:tplc="5F2EE7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73427153"/>
    <w:multiLevelType w:val="hybridMultilevel"/>
    <w:tmpl w:val="4E50CF1E"/>
    <w:lvl w:ilvl="0" w:tplc="3BA0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5328D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27B39"/>
    <w:multiLevelType w:val="hybridMultilevel"/>
    <w:tmpl w:val="069E2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1281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120058">
    <w:abstractNumId w:val="8"/>
  </w:num>
  <w:num w:numId="2" w16cid:durableId="1426657348">
    <w:abstractNumId w:val="11"/>
  </w:num>
  <w:num w:numId="3" w16cid:durableId="1129931453">
    <w:abstractNumId w:val="3"/>
  </w:num>
  <w:num w:numId="4" w16cid:durableId="765536100">
    <w:abstractNumId w:val="10"/>
  </w:num>
  <w:num w:numId="5" w16cid:durableId="1453482004">
    <w:abstractNumId w:val="15"/>
  </w:num>
  <w:num w:numId="6" w16cid:durableId="670329875">
    <w:abstractNumId w:val="4"/>
  </w:num>
  <w:num w:numId="7" w16cid:durableId="1671639468">
    <w:abstractNumId w:val="9"/>
  </w:num>
  <w:num w:numId="8" w16cid:durableId="1392851597">
    <w:abstractNumId w:val="1"/>
  </w:num>
  <w:num w:numId="9" w16cid:durableId="1725906380">
    <w:abstractNumId w:val="18"/>
  </w:num>
  <w:num w:numId="10" w16cid:durableId="113864060">
    <w:abstractNumId w:val="12"/>
  </w:num>
  <w:num w:numId="11" w16cid:durableId="1904949382">
    <w:abstractNumId w:val="19"/>
  </w:num>
  <w:num w:numId="12" w16cid:durableId="505831379">
    <w:abstractNumId w:val="16"/>
  </w:num>
  <w:num w:numId="13" w16cid:durableId="1949578290">
    <w:abstractNumId w:val="0"/>
  </w:num>
  <w:num w:numId="14" w16cid:durableId="929505189">
    <w:abstractNumId w:val="7"/>
  </w:num>
  <w:num w:numId="15" w16cid:durableId="1831482206">
    <w:abstractNumId w:val="13"/>
  </w:num>
  <w:num w:numId="16" w16cid:durableId="1170291236">
    <w:abstractNumId w:val="17"/>
  </w:num>
  <w:num w:numId="17" w16cid:durableId="1445729740">
    <w:abstractNumId w:val="5"/>
  </w:num>
  <w:num w:numId="18" w16cid:durableId="1108045080">
    <w:abstractNumId w:val="2"/>
  </w:num>
  <w:num w:numId="19" w16cid:durableId="1867524109">
    <w:abstractNumId w:val="14"/>
  </w:num>
  <w:num w:numId="20" w16cid:durableId="14753726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36"/>
    <w:rsid w:val="0000113A"/>
    <w:rsid w:val="000342B7"/>
    <w:rsid w:val="000814E7"/>
    <w:rsid w:val="000B3EA9"/>
    <w:rsid w:val="001259AD"/>
    <w:rsid w:val="0019656A"/>
    <w:rsid w:val="001C3E99"/>
    <w:rsid w:val="001F2BA6"/>
    <w:rsid w:val="00214874"/>
    <w:rsid w:val="002B42A0"/>
    <w:rsid w:val="002E12F8"/>
    <w:rsid w:val="003E6E1E"/>
    <w:rsid w:val="00473779"/>
    <w:rsid w:val="00497502"/>
    <w:rsid w:val="004A3940"/>
    <w:rsid w:val="004E6C8E"/>
    <w:rsid w:val="0050291A"/>
    <w:rsid w:val="00554B10"/>
    <w:rsid w:val="00555972"/>
    <w:rsid w:val="005B255B"/>
    <w:rsid w:val="005C1D28"/>
    <w:rsid w:val="0060583C"/>
    <w:rsid w:val="00614D7B"/>
    <w:rsid w:val="00632805"/>
    <w:rsid w:val="00692F74"/>
    <w:rsid w:val="006A3B28"/>
    <w:rsid w:val="006B36FD"/>
    <w:rsid w:val="00712FA1"/>
    <w:rsid w:val="007370F2"/>
    <w:rsid w:val="00772B47"/>
    <w:rsid w:val="00782A2F"/>
    <w:rsid w:val="007E40D0"/>
    <w:rsid w:val="00814704"/>
    <w:rsid w:val="008411FE"/>
    <w:rsid w:val="00856B91"/>
    <w:rsid w:val="008D46EC"/>
    <w:rsid w:val="00926586"/>
    <w:rsid w:val="009B5573"/>
    <w:rsid w:val="009F0000"/>
    <w:rsid w:val="00A45F11"/>
    <w:rsid w:val="00A55E7F"/>
    <w:rsid w:val="00A65376"/>
    <w:rsid w:val="00AE5BA4"/>
    <w:rsid w:val="00AF1A78"/>
    <w:rsid w:val="00B43961"/>
    <w:rsid w:val="00C06272"/>
    <w:rsid w:val="00C166F8"/>
    <w:rsid w:val="00C2678E"/>
    <w:rsid w:val="00C31BDD"/>
    <w:rsid w:val="00C378EE"/>
    <w:rsid w:val="00CA165C"/>
    <w:rsid w:val="00CC1162"/>
    <w:rsid w:val="00CD3A1C"/>
    <w:rsid w:val="00CD5936"/>
    <w:rsid w:val="00CE7764"/>
    <w:rsid w:val="00D5001D"/>
    <w:rsid w:val="00D85010"/>
    <w:rsid w:val="00D8780C"/>
    <w:rsid w:val="00D952E7"/>
    <w:rsid w:val="00DB387B"/>
    <w:rsid w:val="00DE72D0"/>
    <w:rsid w:val="00E4178D"/>
    <w:rsid w:val="00EB19F0"/>
    <w:rsid w:val="00EB40C5"/>
    <w:rsid w:val="00EE01D5"/>
    <w:rsid w:val="00EF27FC"/>
    <w:rsid w:val="00F0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1F7E"/>
  <w15:chartTrackingRefBased/>
  <w15:docId w15:val="{4A11250F-6997-4BAF-BC37-AB13B865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"/>
    <w:link w:val="Teksttreci31"/>
    <w:uiPriority w:val="99"/>
    <w:locked/>
    <w:rsid w:val="00CD5936"/>
    <w:rPr>
      <w:rFonts w:ascii="Tahoma" w:hAnsi="Tahoma" w:cs="Tahoma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CD5936"/>
    <w:pPr>
      <w:shd w:val="clear" w:color="auto" w:fill="FFFFFF"/>
      <w:spacing w:before="60" w:after="0" w:line="226" w:lineRule="exact"/>
      <w:ind w:hanging="660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DE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2D0"/>
  </w:style>
  <w:style w:type="paragraph" w:styleId="Stopka">
    <w:name w:val="footer"/>
    <w:basedOn w:val="Normalny"/>
    <w:link w:val="StopkaZnak"/>
    <w:uiPriority w:val="99"/>
    <w:unhideWhenUsed/>
    <w:rsid w:val="00DE7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2D0"/>
  </w:style>
  <w:style w:type="character" w:styleId="Hipercze">
    <w:name w:val="Hyperlink"/>
    <w:uiPriority w:val="99"/>
    <w:rsid w:val="00497502"/>
    <w:rPr>
      <w:color w:val="0000FF"/>
      <w:u w:val="single"/>
    </w:rPr>
  </w:style>
  <w:style w:type="paragraph" w:styleId="Tekstpodstawowy3">
    <w:name w:val="Body Text 3"/>
    <w:basedOn w:val="Normalny"/>
    <w:link w:val="Tekstpodstawowy3Znak1"/>
    <w:rsid w:val="0000113A"/>
    <w:pPr>
      <w:spacing w:after="120" w:line="360" w:lineRule="auto"/>
      <w:ind w:firstLine="357"/>
      <w:jc w:val="both"/>
    </w:pPr>
    <w:rPr>
      <w:rFonts w:ascii="Arial" w:eastAsia="Times New Roman" w:hAnsi="Arial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00113A"/>
    <w:rPr>
      <w:sz w:val="16"/>
      <w:szCs w:val="16"/>
    </w:rPr>
  </w:style>
  <w:style w:type="character" w:customStyle="1" w:styleId="Tekstpodstawowy3Znak1">
    <w:name w:val="Tekst podstawowy 3 Znak1"/>
    <w:link w:val="Tekstpodstawowy3"/>
    <w:rsid w:val="0000113A"/>
    <w:rPr>
      <w:rFonts w:ascii="Arial" w:eastAsia="Times New Roman" w:hAnsi="Arial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31BDD"/>
    <w:pPr>
      <w:ind w:left="720"/>
      <w:contextualSpacing/>
    </w:pPr>
  </w:style>
  <w:style w:type="paragraph" w:customStyle="1" w:styleId="EMIpodstawowy">
    <w:name w:val="EMI_podstawowy"/>
    <w:basedOn w:val="Normalny"/>
    <w:rsid w:val="00C31BDD"/>
    <w:pPr>
      <w:tabs>
        <w:tab w:val="left" w:pos="0"/>
      </w:tabs>
      <w:suppressAutoHyphens/>
      <w:spacing w:after="0" w:line="240" w:lineRule="auto"/>
    </w:pPr>
    <w:rPr>
      <w:rFonts w:ascii="Century Gothic" w:eastAsia="SimSun" w:hAnsi="Century Gothic" w:cs="Century Gothic"/>
      <w:kern w:val="2"/>
      <w:sz w:val="18"/>
      <w:szCs w:val="18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C31B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31BDD"/>
  </w:style>
  <w:style w:type="paragraph" w:customStyle="1" w:styleId="Textbody">
    <w:name w:val="Text body"/>
    <w:basedOn w:val="Normalny"/>
    <w:rsid w:val="00C31BDD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1636</Words>
  <Characters>9817</Characters>
  <Application>Microsoft Office Word</Application>
  <DocSecurity>0</DocSecurity>
  <Lines>81</Lines>
  <Paragraphs>22</Paragraphs>
  <ScaleCrop>false</ScaleCrop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Wiatkowska</dc:creator>
  <cp:keywords/>
  <dc:description/>
  <cp:lastModifiedBy>Beata Szuchnicka</cp:lastModifiedBy>
  <cp:revision>34</cp:revision>
  <dcterms:created xsi:type="dcterms:W3CDTF">2021-04-13T11:36:00Z</dcterms:created>
  <dcterms:modified xsi:type="dcterms:W3CDTF">2026-04-10T09:17:00Z</dcterms:modified>
</cp:coreProperties>
</file>